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C2EB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рисков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C4DDDE9" w:rsidR="00C52FB4" w:rsidRPr="00352B6F" w:rsidRDefault="00731E8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731E8E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CBD98A" w:rsidR="00A77598" w:rsidRPr="004D4CDA" w:rsidRDefault="004D4C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C2E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2EBE">
              <w:rPr>
                <w:rFonts w:ascii="Times New Roman" w:hAnsi="Times New Roman" w:cs="Times New Roman"/>
                <w:sz w:val="20"/>
                <w:szCs w:val="20"/>
              </w:rPr>
              <w:t>к.э.н, Богоявленский Сергей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188582" w:rsidR="004475DA" w:rsidRPr="004D4CDA" w:rsidRDefault="004D4C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51A73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9283B17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6CF7CC9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F4AAED7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294B673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816FDF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6904E16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745E42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A0B6278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F609AD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6E3170E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B55A1F" w:rsidR="00D75436" w:rsidRDefault="006B7E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131D907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CB0C155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BC4C871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F97C723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7D3580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E31638" w:rsidR="00D75436" w:rsidRDefault="006B7E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C2EB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DC2E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Cформировать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рисков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DC2E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C2E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C2E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C2E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C2E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C2E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C2E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C2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C2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C2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C2EBE">
              <w:rPr>
                <w:rFonts w:ascii="Times New Roman" w:hAnsi="Times New Roman" w:cs="Times New Roman"/>
              </w:rPr>
              <w:t>источники неопределенности в экономической деятельности; подходы к поиску оптимальных решений в условиях неопределенности и риска; принципы доминирования и основные критерии (метрики), применяемые при принятии экономических решений в условиях неопределенности и риска; принципы построения системы управления рисками организации и основные методы воздействия на риски</w:t>
            </w:r>
            <w:r w:rsidRPr="00DC2E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C2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C2EBE">
              <w:rPr>
                <w:rFonts w:ascii="Times New Roman" w:hAnsi="Times New Roman" w:cs="Times New Roman"/>
              </w:rPr>
              <w:t>количественно оценивать варианты экономических решений в условиях неопределенности и риска и рассчитывать традиционные и современные метрики риска; оценивать стоимость информации в условиях неопределенности и риска</w:t>
            </w:r>
            <w:r w:rsidRPr="00DC2E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C2E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C2EBE">
              <w:rPr>
                <w:rFonts w:ascii="Times New Roman" w:hAnsi="Times New Roman" w:cs="Times New Roman"/>
              </w:rPr>
              <w:t>навыками моделирования экономических ситуаций в условиях неопределенности и риска; методами количественной оценки рисков</w:t>
            </w:r>
            <w:r w:rsidRPr="00DC2E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C2E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C2E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C2EB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C2EB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C2EB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(ак</w:t>
            </w:r>
            <w:r w:rsidR="00AE2B1A" w:rsidRPr="00DC2EBE">
              <w:rPr>
                <w:rFonts w:ascii="Times New Roman" w:hAnsi="Times New Roman" w:cs="Times New Roman"/>
                <w:b/>
              </w:rPr>
              <w:t>адемические</w:t>
            </w:r>
            <w:r w:rsidRPr="00DC2EB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C2EB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C2EB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C2EB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1. Неопределенность и риск.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7FFD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4F3C5E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2. Задача принятия решения в условиях неопределенности и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CB90C1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Теория риска как инструмент принятия решений. Детерминированные и индетерминированные модели. Задача принятия решения. Элементы модели. Лицо, принимающее решение. Понятие среды. Управляемые параметры и параметры среды. Функция реализации. Альтернативы (стратегии). Состояние среды. Оценочная структура и целевая функция. Виды неопределенности. Неопределенные параметры. Проблема оценки результата в моделях с неопределенными параметрами. Различие условий неопределенности и риска с точки зрения принятия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7D1533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3449C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BCA8B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62756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4E5EE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1DAE7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3. Принятие решений в условиях неопределенности.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7CB67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Подходы к принятию решений в условиях неопределенности. Матричные игры. Постановка задачи в условиях игр с природой. Принцип последовательного уменьшения неопределенности. Принципы доминирования. Абсолютное доминирование и доминирование по состояниям. Идея применения критериев выбора. Критерий Вальда. Критерий "максимакса". Критерий Лапласа. Критерий Сэвиджа. Критерий Гурвица. Обобщенный критерий Гурвица. Сравнение критериев выбора.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2EF14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BAC91A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C1C76F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CB0C3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AAA0C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F418B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4. Принятие решений в условиях риска (дискретная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242CC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Особенности принятия решений в условиях риска. Моделирование ситуации риска с помощью случайной величины: дискретные и непрерывные распределения. Доминирование по вероятности. Традиционные критерии сравнения рисковых альтернатив. Критерий предельного значения. Критерий наиболее вероятного значения. Критерий ожидаемого значения. Критерии вариабельности. Комбинированный критерий. Оценка стоимости информации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942A8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8F09DD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7A442B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95FA24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22E41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6E04A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5. Принятие решений в условиях риска (непрерывная модель).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72A82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Непрерывные распределения случайной величины. Построение гистограммы. Критерий предельного значения, наиболее вероятного значения и критерий ожидаемого значения для непрерывного распределения. Критерий</w:t>
            </w:r>
            <w:r w:rsidRPr="00DC2EBE">
              <w:rPr>
                <w:sz w:val="22"/>
                <w:szCs w:val="22"/>
                <w:lang w:val="en-US" w:bidi="ru-RU"/>
              </w:rPr>
              <w:t xml:space="preserve"> Value-at-Risk (</w:t>
            </w:r>
            <w:proofErr w:type="spellStart"/>
            <w:r w:rsidRPr="00DC2EBE">
              <w:rPr>
                <w:sz w:val="22"/>
                <w:szCs w:val="22"/>
                <w:lang w:val="en-US" w:bidi="ru-RU"/>
              </w:rPr>
              <w:t>VaR</w:t>
            </w:r>
            <w:proofErr w:type="spellEnd"/>
            <w:r w:rsidRPr="00DC2EBE">
              <w:rPr>
                <w:sz w:val="22"/>
                <w:szCs w:val="22"/>
                <w:lang w:val="en-US" w:bidi="ru-RU"/>
              </w:rPr>
              <w:t xml:space="preserve">). </w:t>
            </w:r>
            <w:r w:rsidRPr="00DC2EBE">
              <w:rPr>
                <w:sz w:val="22"/>
                <w:szCs w:val="22"/>
                <w:lang w:bidi="ru-RU"/>
              </w:rPr>
              <w:t>Критерий</w:t>
            </w:r>
            <w:r w:rsidRPr="00DC2EBE">
              <w:rPr>
                <w:sz w:val="22"/>
                <w:szCs w:val="22"/>
                <w:lang w:val="en-US" w:bidi="ru-RU"/>
              </w:rPr>
              <w:t xml:space="preserve"> Expected Shortfall (ES). </w:t>
            </w:r>
            <w:r w:rsidRPr="00DC2EBE">
              <w:rPr>
                <w:sz w:val="22"/>
                <w:szCs w:val="22"/>
                <w:lang w:bidi="ru-RU"/>
              </w:rPr>
              <w:t>Критерий</w:t>
            </w:r>
            <w:r w:rsidRPr="00DC2EBE">
              <w:rPr>
                <w:sz w:val="22"/>
                <w:szCs w:val="22"/>
                <w:lang w:val="en-US" w:bidi="ru-RU"/>
              </w:rPr>
              <w:t xml:space="preserve"> Tail-Value-at-Risk (</w:t>
            </w:r>
            <w:proofErr w:type="spellStart"/>
            <w:r w:rsidRPr="00DC2EBE">
              <w:rPr>
                <w:sz w:val="22"/>
                <w:szCs w:val="22"/>
                <w:lang w:val="en-US" w:bidi="ru-RU"/>
              </w:rPr>
              <w:t>TVaR</w:t>
            </w:r>
            <w:proofErr w:type="spellEnd"/>
            <w:r w:rsidRPr="00DC2EBE">
              <w:rPr>
                <w:sz w:val="22"/>
                <w:szCs w:val="22"/>
                <w:lang w:val="en-US" w:bidi="ru-RU"/>
              </w:rPr>
              <w:t xml:space="preserve"> </w:t>
            </w:r>
            <w:r w:rsidRPr="00DC2EBE">
              <w:rPr>
                <w:sz w:val="22"/>
                <w:szCs w:val="22"/>
                <w:lang w:bidi="ru-RU"/>
              </w:rPr>
              <w:t>или</w:t>
            </w:r>
            <w:r w:rsidRPr="00DC2EBE">
              <w:rPr>
                <w:sz w:val="22"/>
                <w:szCs w:val="22"/>
                <w:lang w:val="en-US" w:bidi="ru-RU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 w:bidi="ru-RU"/>
              </w:rPr>
              <w:t>CVaR</w:t>
            </w:r>
            <w:proofErr w:type="spellEnd"/>
            <w:r w:rsidRPr="00DC2EBE">
              <w:rPr>
                <w:sz w:val="22"/>
                <w:szCs w:val="22"/>
                <w:lang w:val="en-US" w:bidi="ru-RU"/>
              </w:rPr>
              <w:t xml:space="preserve">). </w:t>
            </w:r>
            <w:r w:rsidRPr="00DC2EBE">
              <w:rPr>
                <w:sz w:val="22"/>
                <w:szCs w:val="22"/>
                <w:lang w:bidi="ru-RU"/>
              </w:rPr>
              <w:t>Сравнение критериев выбора в условиях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69CD7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AB8EE4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958FCD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BA968B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51D71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A66B8B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6. Управление рисками в социально-экономических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7864CD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Понятие системы управления рисками (СУР). Эволюция подходов к управлению рисками. Цели, задачи и логика построения системы управления рисками. Схемы управления рисками организации по отечественным и международным стандартам в области управления рисками.</w:t>
            </w:r>
            <w:r w:rsidRPr="00DC2EBE">
              <w:rPr>
                <w:sz w:val="22"/>
                <w:szCs w:val="22"/>
                <w:lang w:bidi="ru-RU"/>
              </w:rPr>
              <w:br/>
              <w:t>Понятие оценки риска. Идентификация, измерение и оценивание рисков. Методы измерения рисков, их особенности и область применения. Критерии значимости рисков. Картографирование рисковой ситуации.</w:t>
            </w:r>
            <w:r w:rsidRPr="00DC2EBE">
              <w:rPr>
                <w:sz w:val="22"/>
                <w:szCs w:val="22"/>
                <w:lang w:bidi="ru-RU"/>
              </w:rPr>
              <w:br/>
              <w:t>Понятие и классификация методов воздействия на риск. Регулирование и финансирование рисков. Расширение множества альтернатив за счет применения методов обработки риска. Изменение рисковой ситуации в результате применения методов обработки риска. Сегрегация рисков. Диверсификация рисков. Объединение рисков. Принципы эффективного объединения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FD3E0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03C8C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FB095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6295C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4FD4E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90BF9" w14:textId="77777777" w:rsidR="004475DA" w:rsidRPr="00DC2EB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Тема 7. Психологические аспекты принятия решений в условиях риска.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9D3044" w14:textId="77777777" w:rsidR="004475DA" w:rsidRPr="00DC2EB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C2EBE">
              <w:rPr>
                <w:sz w:val="22"/>
                <w:szCs w:val="22"/>
                <w:lang w:bidi="ru-RU"/>
              </w:rPr>
              <w:t>Особенности экономического поведения в условиях риска и проблемы его изучения. Типы отношения человека к риску. Теоретические подходы к описанию поведения экономических субъектов в условиях риска. Теория ожидаемой полезности и Теория перспектив.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516E40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F8D60" w14:textId="77777777" w:rsidR="004475DA" w:rsidRPr="00DC2EB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DF8CF0" w14:textId="77777777" w:rsidR="004475DA" w:rsidRPr="00DC2EB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2ED70F" w14:textId="77777777" w:rsidR="004475DA" w:rsidRPr="00DC2EB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C2EB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C2EB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C2EB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C2EB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C2EB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C2EB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C2EBE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6"/>
        <w:gridCol w:w="2558"/>
      </w:tblGrid>
      <w:tr w:rsidR="00262CF0" w:rsidRPr="00DC2EBE" w14:paraId="5F00FF08" w14:textId="77777777" w:rsidTr="00DC2EBE">
        <w:trPr>
          <w:trHeight w:val="641"/>
        </w:trPr>
        <w:tc>
          <w:tcPr>
            <w:tcW w:w="3714" w:type="pct"/>
            <w:shd w:val="clear" w:color="auto" w:fill="auto"/>
            <w:vAlign w:val="center"/>
            <w:hideMark/>
          </w:tcPr>
          <w:p w14:paraId="32DEE01C" w14:textId="6DE4B03A" w:rsidR="00262CF0" w:rsidRPr="00DC2EB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C1EA733" w14:textId="77777777" w:rsidR="00262CF0" w:rsidRPr="00DC2EB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C2EB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C2EBE" w14:paraId="1433EE91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31B092F5" w14:textId="4DED7782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C2EBE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DC2EBE">
              <w:rPr>
                <w:rFonts w:ascii="Times New Roman" w:hAnsi="Times New Roman" w:cs="Times New Roman"/>
              </w:rPr>
              <w:t>, А. В.  Управление рисками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учебник и практикум для вузов / А. В.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, 2025. — 485 с. — (Высшее образование). — </w:t>
            </w:r>
            <w:r w:rsidRPr="00DC2EBE">
              <w:rPr>
                <w:rFonts w:ascii="Times New Roman" w:hAnsi="Times New Roman" w:cs="Times New Roman"/>
                <w:lang w:val="en-US"/>
              </w:rPr>
              <w:t>ISBN</w:t>
            </w:r>
            <w:r w:rsidRPr="00DC2EBE">
              <w:rPr>
                <w:rFonts w:ascii="Times New Roman" w:hAnsi="Times New Roman" w:cs="Times New Roman"/>
              </w:rPr>
              <w:t xml:space="preserve"> 978-5-534-12206-0. — Текст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965B29" w14:textId="0CF2FFC1" w:rsidR="00262CF0" w:rsidRPr="00DC2EBE" w:rsidRDefault="006B7E4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https://www.urait.ru/viewer/upravlenie-riskami-560651#page/1</w:t>
              </w:r>
            </w:hyperlink>
          </w:p>
        </w:tc>
      </w:tr>
      <w:tr w:rsidR="00262CF0" w:rsidRPr="00DC2EBE" w14:paraId="182BC250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54BF9F1B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>Шапкин, А. С. Теория риска и моделирование рисковых ситуаций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учебник / А. С. Шапкин, В. А. Шапкин. - 10-е изд.,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C2EBE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Издательско-торговая корпорация «Дашков и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°», 2023. - 874 с. - </w:t>
            </w:r>
            <w:r w:rsidRPr="00DC2EBE">
              <w:rPr>
                <w:rFonts w:ascii="Times New Roman" w:hAnsi="Times New Roman" w:cs="Times New Roman"/>
                <w:lang w:val="en-US"/>
              </w:rPr>
              <w:t>ISBN</w:t>
            </w:r>
            <w:r w:rsidRPr="00DC2EBE">
              <w:rPr>
                <w:rFonts w:ascii="Times New Roman" w:hAnsi="Times New Roman" w:cs="Times New Roman"/>
              </w:rPr>
              <w:t xml:space="preserve"> 978-5-394-05397-9.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5647B65C" w14:textId="77777777" w:rsidR="00262CF0" w:rsidRPr="00DC2EBE" w:rsidRDefault="006B7E4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https://znanium.com/catalog/product/2041752</w:t>
              </w:r>
            </w:hyperlink>
          </w:p>
        </w:tc>
      </w:tr>
      <w:tr w:rsidR="00262CF0" w:rsidRPr="00DC2EBE" w14:paraId="1A69BCC0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61CA3733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>Богоявленский С.Б. Теоретические и практические аспекты принятия решений в условиях неопределенности и риска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учебное пособие. – Санкт-Петербург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Изд-во СПбГЭУ, 2014 . – 118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B48BF3" w14:textId="77777777" w:rsidR="00262CF0" w:rsidRPr="00DC2EBE" w:rsidRDefault="006B7E4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http://opac.unecon.ru/elibrary/elib/465922979.pdf</w:t>
              </w:r>
            </w:hyperlink>
          </w:p>
        </w:tc>
      </w:tr>
      <w:tr w:rsidR="00262CF0" w:rsidRPr="00DC2EBE" w14:paraId="1C10D9F4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657AD290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>Богоявленский С.Б. Типовые задачи принятия решений в условиях неопределенности и риска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учебное пособие / С.Б. Богоявленский, И.В. Стоноженко. – Санкт-Петербург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Изд-во СПбГЭУ, 2016 . – 79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33ECBCB9" w14:textId="77777777" w:rsidR="00262CF0" w:rsidRPr="00DC2EBE" w:rsidRDefault="006B7E4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BD%D1%8F%D1%82%D0%B8%D1%8F.pdf</w:t>
              </w:r>
            </w:hyperlink>
          </w:p>
        </w:tc>
      </w:tr>
      <w:tr w:rsidR="00262CF0" w:rsidRPr="00DC2EBE" w14:paraId="1761A90D" w14:textId="77777777" w:rsidTr="00DC2EBE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4D8629D3" w14:textId="77777777" w:rsidR="00262CF0" w:rsidRPr="00DC2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C2EBE">
              <w:rPr>
                <w:rFonts w:ascii="Times New Roman" w:hAnsi="Times New Roman" w:cs="Times New Roman"/>
              </w:rPr>
              <w:t xml:space="preserve">Богоявленский, Сергей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БорисовичОценка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 рисков : учебное пособие /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С.Б.Богоявленский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2EBE">
              <w:rPr>
                <w:rFonts w:ascii="Times New Roman" w:hAnsi="Times New Roman" w:cs="Times New Roman"/>
              </w:rPr>
              <w:t>И.В.Стоноженко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DC2EBE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DC2EBE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DC2EB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DC2EB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экон</w:t>
            </w:r>
            <w:proofErr w:type="spellEnd"/>
            <w:r w:rsidRPr="00DC2EBE">
              <w:rPr>
                <w:rFonts w:ascii="Times New Roman" w:hAnsi="Times New Roman" w:cs="Times New Roman"/>
              </w:rPr>
              <w:t>. ун-т, Каф</w:t>
            </w:r>
            <w:proofErr w:type="gramStart"/>
            <w:r w:rsidRPr="00DC2EBE">
              <w:rPr>
                <w:rFonts w:ascii="Times New Roman" w:hAnsi="Times New Roman" w:cs="Times New Roman"/>
              </w:rPr>
              <w:t>.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C2EBE">
              <w:rPr>
                <w:rFonts w:ascii="Times New Roman" w:hAnsi="Times New Roman" w:cs="Times New Roman"/>
              </w:rPr>
              <w:t>б</w:t>
            </w:r>
            <w:proofErr w:type="gramEnd"/>
            <w:r w:rsidRPr="00DC2EBE">
              <w:rPr>
                <w:rFonts w:ascii="Times New Roman" w:hAnsi="Times New Roman" w:cs="Times New Roman"/>
              </w:rPr>
              <w:t xml:space="preserve">анков, фин. рынков и </w:t>
            </w:r>
            <w:proofErr w:type="spellStart"/>
            <w:r w:rsidRPr="00DC2EBE">
              <w:rPr>
                <w:rFonts w:ascii="Times New Roman" w:hAnsi="Times New Roman" w:cs="Times New Roman"/>
              </w:rPr>
              <w:t>страхованияСанкт</w:t>
            </w:r>
            <w:proofErr w:type="spellEnd"/>
            <w:r w:rsidRPr="00DC2EBE">
              <w:rPr>
                <w:rFonts w:ascii="Times New Roman" w:hAnsi="Times New Roman" w:cs="Times New Roman"/>
              </w:rPr>
              <w:t>-Петербург : Изд-во СПбГЭУ, 2021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EFF68BB" w14:textId="77777777" w:rsidR="00262CF0" w:rsidRPr="00DC2EBE" w:rsidRDefault="006B7E41" w:rsidP="00DC2EBE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DC2EBE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D1%81%D0%BA%D0%BE%D0%B2_21.pdf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C57D7A" w14:textId="77777777" w:rsidTr="007B550D">
        <w:tc>
          <w:tcPr>
            <w:tcW w:w="9345" w:type="dxa"/>
          </w:tcPr>
          <w:p w14:paraId="189F06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FD3E9E" w14:textId="77777777" w:rsidTr="007B550D">
        <w:tc>
          <w:tcPr>
            <w:tcW w:w="9345" w:type="dxa"/>
          </w:tcPr>
          <w:p w14:paraId="5E6B85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EC0D34" w14:textId="77777777" w:rsidTr="007B550D">
        <w:tc>
          <w:tcPr>
            <w:tcW w:w="9345" w:type="dxa"/>
          </w:tcPr>
          <w:p w14:paraId="575820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059A95" w14:textId="77777777" w:rsidTr="007B550D">
        <w:tc>
          <w:tcPr>
            <w:tcW w:w="9345" w:type="dxa"/>
          </w:tcPr>
          <w:p w14:paraId="7CC386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7E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C2EBE" w:rsidRDefault="002C735C" w:rsidP="00DC2EB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2E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C2EBE" w:rsidRDefault="002C735C" w:rsidP="00DC2EB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C2E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200341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>/4/500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D87A554" w14:textId="77777777" w:rsidTr="008416EB">
        <w:tc>
          <w:tcPr>
            <w:tcW w:w="7797" w:type="dxa"/>
            <w:shd w:val="clear" w:color="auto" w:fill="auto"/>
          </w:tcPr>
          <w:p w14:paraId="16084463" w14:textId="0CDB43D4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 xml:space="preserve"> /4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/500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 Звуковой проектор </w:t>
            </w:r>
            <w:r w:rsidRPr="00DC2EBE">
              <w:rPr>
                <w:sz w:val="22"/>
                <w:szCs w:val="22"/>
                <w:lang w:val="en-US"/>
              </w:rPr>
              <w:t>Yamaha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YSP</w:t>
            </w:r>
            <w:r w:rsidRPr="00DC2EBE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DC2EBE">
              <w:rPr>
                <w:sz w:val="22"/>
                <w:szCs w:val="22"/>
              </w:rPr>
              <w:t>площ.д</w:t>
            </w:r>
            <w:proofErr w:type="spellEnd"/>
            <w:r w:rsidRPr="00DC2EBE">
              <w:rPr>
                <w:sz w:val="22"/>
                <w:szCs w:val="22"/>
              </w:rPr>
              <w:t xml:space="preserve">/камеры - 1 шт., Экран проекционный </w:t>
            </w:r>
            <w:r w:rsidRPr="00DC2EBE">
              <w:rPr>
                <w:sz w:val="22"/>
                <w:szCs w:val="22"/>
                <w:lang w:val="en-US"/>
              </w:rPr>
              <w:t>draper</w:t>
            </w:r>
            <w:r w:rsidRPr="00DC2EB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DC2EBE">
              <w:rPr>
                <w:sz w:val="22"/>
                <w:szCs w:val="22"/>
                <w:lang w:val="en-US"/>
              </w:rPr>
              <w:t>Panasonic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VX</w:t>
            </w:r>
            <w:r w:rsidRPr="00DC2EBE">
              <w:rPr>
                <w:sz w:val="22"/>
                <w:szCs w:val="22"/>
              </w:rPr>
              <w:t xml:space="preserve">610Е - 1 шт., Кронштейн потолочный </w:t>
            </w:r>
            <w:r w:rsidRPr="00DC2EBE">
              <w:rPr>
                <w:sz w:val="22"/>
                <w:szCs w:val="22"/>
                <w:lang w:val="en-US"/>
              </w:rPr>
              <w:t>Screen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Media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D</w:t>
            </w:r>
            <w:r w:rsidRPr="00DC2EBE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343FFD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5AF897F" w14:textId="77777777" w:rsidTr="008416EB">
        <w:tc>
          <w:tcPr>
            <w:tcW w:w="7797" w:type="dxa"/>
            <w:shd w:val="clear" w:color="auto" w:fill="auto"/>
          </w:tcPr>
          <w:p w14:paraId="47DE47E1" w14:textId="52C5DE0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core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>5-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>4-4460/8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/1Тб/</w:t>
            </w:r>
            <w:r w:rsidRPr="00DC2EBE">
              <w:rPr>
                <w:sz w:val="22"/>
                <w:szCs w:val="22"/>
                <w:lang w:val="en-US"/>
              </w:rPr>
              <w:t>Samsung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s</w:t>
            </w:r>
            <w:r w:rsidRPr="00DC2EBE">
              <w:rPr>
                <w:sz w:val="22"/>
                <w:szCs w:val="22"/>
              </w:rPr>
              <w:t>23</w:t>
            </w:r>
            <w:r w:rsidRPr="00DC2EBE">
              <w:rPr>
                <w:sz w:val="22"/>
                <w:szCs w:val="22"/>
                <w:lang w:val="en-US"/>
              </w:rPr>
              <w:t>e</w:t>
            </w:r>
            <w:r w:rsidRPr="00DC2EBE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DC2EBE">
              <w:rPr>
                <w:sz w:val="22"/>
                <w:szCs w:val="22"/>
                <w:lang w:val="en-US"/>
              </w:rPr>
              <w:t>Panasonic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VX</w:t>
            </w:r>
            <w:r w:rsidRPr="00DC2EB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Champion</w:t>
            </w:r>
            <w:r w:rsidRPr="00DC2EBE">
              <w:rPr>
                <w:sz w:val="22"/>
                <w:szCs w:val="22"/>
              </w:rPr>
              <w:t xml:space="preserve"> 244х183см </w:t>
            </w:r>
            <w:r w:rsidRPr="00DC2EBE">
              <w:rPr>
                <w:sz w:val="22"/>
                <w:szCs w:val="22"/>
                <w:lang w:val="en-US"/>
              </w:rPr>
              <w:t>SCM</w:t>
            </w:r>
            <w:r w:rsidRPr="00DC2EBE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785DB4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4C40E0F" w14:textId="77777777" w:rsidTr="008416EB">
        <w:tc>
          <w:tcPr>
            <w:tcW w:w="7797" w:type="dxa"/>
            <w:shd w:val="clear" w:color="auto" w:fill="auto"/>
          </w:tcPr>
          <w:p w14:paraId="1A3AB571" w14:textId="0BE38D5C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>/4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/500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4F5D88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54C9365" w14:textId="77777777" w:rsidTr="008416EB">
        <w:tc>
          <w:tcPr>
            <w:tcW w:w="7797" w:type="dxa"/>
            <w:shd w:val="clear" w:color="auto" w:fill="auto"/>
          </w:tcPr>
          <w:p w14:paraId="005C459F" w14:textId="33B2BB98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2EBE">
              <w:rPr>
                <w:sz w:val="22"/>
                <w:szCs w:val="22"/>
              </w:rPr>
              <w:t xml:space="preserve">3-2100 2.4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2EBE">
              <w:rPr>
                <w:sz w:val="22"/>
                <w:szCs w:val="22"/>
              </w:rPr>
              <w:t>/500/4/</w:t>
            </w:r>
            <w:r w:rsidRPr="00DC2EBE">
              <w:rPr>
                <w:sz w:val="22"/>
                <w:szCs w:val="22"/>
                <w:lang w:val="en-US"/>
              </w:rPr>
              <w:t>Acer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DC2EBE">
              <w:rPr>
                <w:sz w:val="22"/>
                <w:szCs w:val="22"/>
                <w:lang w:val="en-US"/>
              </w:rPr>
              <w:t>Panasonic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VX</w:t>
            </w:r>
            <w:r w:rsidRPr="00DC2EBE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DC2EBE">
              <w:rPr>
                <w:sz w:val="22"/>
                <w:szCs w:val="22"/>
                <w:lang w:val="en-US"/>
              </w:rPr>
              <w:t>Hi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Fi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PRO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MASKGT</w:t>
            </w:r>
            <w:r w:rsidRPr="00DC2EBE">
              <w:rPr>
                <w:sz w:val="22"/>
                <w:szCs w:val="22"/>
              </w:rPr>
              <w:t>-</w:t>
            </w:r>
            <w:r w:rsidRPr="00DC2EBE">
              <w:rPr>
                <w:sz w:val="22"/>
                <w:szCs w:val="22"/>
                <w:lang w:val="en-US"/>
              </w:rPr>
              <w:t>W</w:t>
            </w:r>
            <w:r w:rsidRPr="00DC2EBE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DC2EBE">
              <w:rPr>
                <w:sz w:val="22"/>
                <w:szCs w:val="22"/>
                <w:lang w:val="en-US"/>
              </w:rPr>
              <w:t>Behringer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XM</w:t>
            </w:r>
            <w:r w:rsidRPr="00DC2EBE">
              <w:rPr>
                <w:sz w:val="22"/>
                <w:szCs w:val="22"/>
              </w:rPr>
              <w:t xml:space="preserve">8500 </w:t>
            </w:r>
            <w:r w:rsidRPr="00DC2EBE">
              <w:rPr>
                <w:sz w:val="22"/>
                <w:szCs w:val="22"/>
                <w:lang w:val="en-US"/>
              </w:rPr>
              <w:t>ULTRAVOICE</w:t>
            </w:r>
            <w:r w:rsidRPr="00DC2EB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E79503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DD9CB88" w14:textId="77777777" w:rsidTr="008416EB">
        <w:tc>
          <w:tcPr>
            <w:tcW w:w="7797" w:type="dxa"/>
            <w:shd w:val="clear" w:color="auto" w:fill="auto"/>
          </w:tcPr>
          <w:p w14:paraId="25BF62EF" w14:textId="6AD38065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2 </w:t>
            </w:r>
            <w:r w:rsidRPr="00DC2EBE">
              <w:rPr>
                <w:sz w:val="22"/>
                <w:szCs w:val="22"/>
                <w:lang w:val="en-US"/>
              </w:rPr>
              <w:t>g</w:t>
            </w:r>
            <w:r w:rsidRPr="00DC2EBE">
              <w:rPr>
                <w:sz w:val="22"/>
                <w:szCs w:val="22"/>
              </w:rPr>
              <w:t>3250 /8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>/500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C2EBE">
              <w:rPr>
                <w:sz w:val="22"/>
                <w:szCs w:val="22"/>
              </w:rPr>
              <w:t xml:space="preserve">/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C2EBE">
              <w:rPr>
                <w:sz w:val="22"/>
                <w:szCs w:val="22"/>
              </w:rPr>
              <w:t xml:space="preserve"> 21.5') - 1 шт., Компьютер </w:t>
            </w:r>
            <w:r w:rsidRPr="00DC2EBE">
              <w:rPr>
                <w:sz w:val="22"/>
                <w:szCs w:val="22"/>
                <w:lang w:val="en-US"/>
              </w:rPr>
              <w:t>Intel</w:t>
            </w:r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2 </w:t>
            </w:r>
            <w:r w:rsidRPr="00DC2EBE">
              <w:rPr>
                <w:sz w:val="22"/>
                <w:szCs w:val="22"/>
                <w:lang w:val="en-US"/>
              </w:rPr>
              <w:t>G</w:t>
            </w:r>
            <w:r w:rsidRPr="00DC2EBE">
              <w:rPr>
                <w:sz w:val="22"/>
                <w:szCs w:val="22"/>
              </w:rPr>
              <w:t xml:space="preserve">3420/8 </w:t>
            </w:r>
            <w:r w:rsidRPr="00DC2EBE">
              <w:rPr>
                <w:sz w:val="22"/>
                <w:szCs w:val="22"/>
                <w:lang w:val="en-US"/>
              </w:rPr>
              <w:t>Gb</w:t>
            </w:r>
            <w:r w:rsidRPr="00DC2EBE">
              <w:rPr>
                <w:sz w:val="22"/>
                <w:szCs w:val="22"/>
              </w:rPr>
              <w:t xml:space="preserve">/500 </w:t>
            </w:r>
            <w:r w:rsidRPr="00DC2EBE">
              <w:rPr>
                <w:sz w:val="22"/>
                <w:szCs w:val="22"/>
                <w:lang w:val="en-US"/>
              </w:rPr>
              <w:t>HDD</w:t>
            </w:r>
            <w:r w:rsidRPr="00DC2EBE">
              <w:rPr>
                <w:sz w:val="22"/>
                <w:szCs w:val="22"/>
              </w:rPr>
              <w:t>/</w:t>
            </w:r>
            <w:r w:rsidRPr="00DC2EBE">
              <w:rPr>
                <w:sz w:val="22"/>
                <w:szCs w:val="22"/>
                <w:lang w:val="en-US"/>
              </w:rPr>
              <w:t>PHILIPS</w:t>
            </w:r>
            <w:r w:rsidRPr="00DC2EBE">
              <w:rPr>
                <w:sz w:val="22"/>
                <w:szCs w:val="22"/>
              </w:rPr>
              <w:t xml:space="preserve"> 200</w:t>
            </w:r>
            <w:r w:rsidRPr="00DC2EBE">
              <w:rPr>
                <w:sz w:val="22"/>
                <w:szCs w:val="22"/>
                <w:lang w:val="en-US"/>
              </w:rPr>
              <w:t>V</w:t>
            </w:r>
            <w:r w:rsidRPr="00DC2EBE">
              <w:rPr>
                <w:sz w:val="22"/>
                <w:szCs w:val="22"/>
              </w:rPr>
              <w:t xml:space="preserve">4- 23 шт., Ноутбук </w:t>
            </w:r>
            <w:r w:rsidRPr="00DC2EBE">
              <w:rPr>
                <w:sz w:val="22"/>
                <w:szCs w:val="22"/>
                <w:lang w:val="en-US"/>
              </w:rPr>
              <w:t>HP</w:t>
            </w:r>
            <w:r w:rsidRPr="00DC2EBE">
              <w:rPr>
                <w:sz w:val="22"/>
                <w:szCs w:val="22"/>
              </w:rPr>
              <w:t xml:space="preserve"> 250 </w:t>
            </w:r>
            <w:r w:rsidRPr="00DC2EBE">
              <w:rPr>
                <w:sz w:val="22"/>
                <w:szCs w:val="22"/>
                <w:lang w:val="en-US"/>
              </w:rPr>
              <w:t>G</w:t>
            </w:r>
            <w:r w:rsidRPr="00DC2EBE">
              <w:rPr>
                <w:sz w:val="22"/>
                <w:szCs w:val="22"/>
              </w:rPr>
              <w:t>6 1</w:t>
            </w:r>
            <w:r w:rsidRPr="00DC2EBE">
              <w:rPr>
                <w:sz w:val="22"/>
                <w:szCs w:val="22"/>
                <w:lang w:val="en-US"/>
              </w:rPr>
              <w:t>WY</w:t>
            </w:r>
            <w:r w:rsidRPr="00DC2EBE">
              <w:rPr>
                <w:sz w:val="22"/>
                <w:szCs w:val="22"/>
              </w:rPr>
              <w:t>58</w:t>
            </w:r>
            <w:r w:rsidRPr="00DC2EBE">
              <w:rPr>
                <w:sz w:val="22"/>
                <w:szCs w:val="22"/>
                <w:lang w:val="en-US"/>
              </w:rPr>
              <w:t>EA</w:t>
            </w:r>
            <w:r w:rsidRPr="00DC2EBE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DC2E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C2EBE">
              <w:rPr>
                <w:sz w:val="22"/>
                <w:szCs w:val="22"/>
              </w:rPr>
              <w:t xml:space="preserve"> </w:t>
            </w:r>
            <w:r w:rsidRPr="00DC2EBE">
              <w:rPr>
                <w:sz w:val="22"/>
                <w:szCs w:val="22"/>
                <w:lang w:val="en-US"/>
              </w:rPr>
              <w:t>x</w:t>
            </w:r>
            <w:r w:rsidRPr="00DC2EB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432B1D" w14:textId="77777777" w:rsidR="002C735C" w:rsidRPr="00DC2EBE" w:rsidRDefault="00B43524" w:rsidP="00DC2EB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DC2EB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EBE" w14:paraId="259FFEBF" w14:textId="77777777" w:rsidTr="00DC2EBE">
        <w:tc>
          <w:tcPr>
            <w:tcW w:w="562" w:type="dxa"/>
          </w:tcPr>
          <w:p w14:paraId="16647923" w14:textId="77777777" w:rsidR="00DC2EBE" w:rsidRPr="004D4CDA" w:rsidRDefault="00DC2E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787F3C8" w14:textId="77777777" w:rsidR="00DC2EBE" w:rsidRDefault="00DC2E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C2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2EB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C2EBE" w14:paraId="5A1C9382" w14:textId="77777777" w:rsidTr="00801458">
        <w:tc>
          <w:tcPr>
            <w:tcW w:w="2336" w:type="dxa"/>
          </w:tcPr>
          <w:p w14:paraId="4C518DAB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C2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C2EBE" w14:paraId="07658034" w14:textId="77777777" w:rsidTr="00801458">
        <w:tc>
          <w:tcPr>
            <w:tcW w:w="2336" w:type="dxa"/>
          </w:tcPr>
          <w:p w14:paraId="1553D698" w14:textId="78F29BFB" w:rsidR="005D65A5" w:rsidRPr="00DC2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C2EBE" w14:paraId="35DCE82E" w14:textId="77777777" w:rsidTr="00801458">
        <w:tc>
          <w:tcPr>
            <w:tcW w:w="2336" w:type="dxa"/>
          </w:tcPr>
          <w:p w14:paraId="6761EBA2" w14:textId="77777777" w:rsidR="005D65A5" w:rsidRPr="00DC2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998DC7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7E0E2A9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9643F4B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DC2EBE" w14:paraId="58A00083" w14:textId="77777777" w:rsidTr="00801458">
        <w:tc>
          <w:tcPr>
            <w:tcW w:w="2336" w:type="dxa"/>
          </w:tcPr>
          <w:p w14:paraId="76C3EE92" w14:textId="77777777" w:rsidR="005D65A5" w:rsidRPr="00DC2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5A44A47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C26DB9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F80336" w14:textId="77777777" w:rsidR="005D65A5" w:rsidRPr="00DC2EBE" w:rsidRDefault="007478E0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5FCBCFB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C2EBE" w14:paraId="40C2F6DE" w14:textId="77777777" w:rsidTr="00DC2EBE">
        <w:tc>
          <w:tcPr>
            <w:tcW w:w="562" w:type="dxa"/>
          </w:tcPr>
          <w:p w14:paraId="23403950" w14:textId="77777777" w:rsidR="00DC2EBE" w:rsidRDefault="00DC2E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E3871A" w14:textId="77777777" w:rsidR="00DC2EBE" w:rsidRDefault="00DC2E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C2EBE" w14:paraId="0267C479" w14:textId="77777777" w:rsidTr="00801458">
        <w:tc>
          <w:tcPr>
            <w:tcW w:w="2500" w:type="pct"/>
          </w:tcPr>
          <w:p w14:paraId="37F699C9" w14:textId="77777777" w:rsidR="00B8237E" w:rsidRPr="00DC2E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C2E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2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C2EBE" w14:paraId="3F240151" w14:textId="77777777" w:rsidTr="00801458">
        <w:tc>
          <w:tcPr>
            <w:tcW w:w="2500" w:type="pct"/>
          </w:tcPr>
          <w:p w14:paraId="61E91592" w14:textId="61A0874C" w:rsidR="00B8237E" w:rsidRPr="00DC2EBE" w:rsidRDefault="00B8237E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C2EBE" w:rsidRDefault="005C548A" w:rsidP="00801458">
            <w:pPr>
              <w:rPr>
                <w:rFonts w:ascii="Times New Roman" w:hAnsi="Times New Roman" w:cs="Times New Roman"/>
              </w:rPr>
            </w:pPr>
            <w:r w:rsidRPr="00DC2EB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C2E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00EAC" w14:textId="77777777" w:rsidR="006B7E41" w:rsidRDefault="006B7E41" w:rsidP="00315CA6">
      <w:pPr>
        <w:spacing w:after="0" w:line="240" w:lineRule="auto"/>
      </w:pPr>
      <w:r>
        <w:separator/>
      </w:r>
    </w:p>
  </w:endnote>
  <w:endnote w:type="continuationSeparator" w:id="0">
    <w:p w14:paraId="558CB0A3" w14:textId="77777777" w:rsidR="006B7E41" w:rsidRDefault="006B7E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E8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462E1" w14:textId="77777777" w:rsidR="006B7E41" w:rsidRDefault="006B7E41" w:rsidP="00315CA6">
      <w:pPr>
        <w:spacing w:after="0" w:line="240" w:lineRule="auto"/>
      </w:pPr>
      <w:r>
        <w:separator/>
      </w:r>
    </w:p>
  </w:footnote>
  <w:footnote w:type="continuationSeparator" w:id="0">
    <w:p w14:paraId="596939F7" w14:textId="77777777" w:rsidR="006B7E41" w:rsidRDefault="006B7E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4CDA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B7E41"/>
    <w:rsid w:val="00713C24"/>
    <w:rsid w:val="00731E8E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F44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611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EB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4175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viewer/upravlenie-riskami-5606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E%D1%86%D0%B5%D0%BD%D0%BA%D0%B0%20%D1%80%D0%B8%D1%81%D0%BA%D0%BE%D0%B2_21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2%D0%B8%D0%BF%D0%BE%D0%B2%D1%8B%D0%B5%20%D0%B7%D0%B0%D0%B4%D0%B0%D1%87%D0%B8%20%D0%BF%D1%80%D0%B8%D0%BD%D1%8F%D1%82%D0%B8%D1%8F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65922979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E3710E-C5AA-4F6E-B6B2-52C77CAC6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3752</Words>
  <Characters>21390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